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61"/>
        <w:gridCol w:w="4561"/>
      </w:tblGrid>
      <w:tr>
        <w:tc>
          <w:tcPr>
            <w:tcW w:type="dxa" w:w="1701"/>
          </w:tcPr>
          <w:p>
            <w:pPr>
              <w:spacing w:before="0" w:after="0"/>
              <w:jc w:val="left"/>
            </w:pPr>
            <w:r>
              <w:drawing>
                <wp:inline xmlns:a="http://schemas.openxmlformats.org/drawingml/2006/main" xmlns:pic="http://schemas.openxmlformats.org/drawingml/2006/picture">
                  <wp:extent cx="936000" cy="290323"/>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936000" cy="290323"/>
                          </a:xfrm>
                          <a:prstGeom prst="rect"/>
                        </pic:spPr>
                      </pic:pic>
                    </a:graphicData>
                  </a:graphic>
                </wp:inline>
              </w:drawing>
            </w:r>
          </w:p>
        </w:tc>
        <w:tc>
          <w:tcPr>
            <w:tcW w:type="dxa" w:w="7370"/>
            <w:vAlign w:val="center"/>
          </w:tcPr>
          <w:p>
            <w:pPr>
              <w:spacing w:before="0" w:after="40"/>
            </w:pPr>
            <w:r>
              <w:rPr>
                <w:b/>
                <w:color w:val="1F3B6E"/>
                <w:sz w:val="24"/>
              </w:rPr>
              <w:t>NUSINDO TRAINING CENTER</w:t>
            </w:r>
          </w:p>
          <w:p>
            <w:pPr>
              <w:spacing w:before="0" w:after="20"/>
            </w:pPr>
            <w:r>
              <w:rPr>
                <w:b/>
                <w:color w:val="1F3B6E"/>
                <w:sz w:val="18"/>
              </w:rPr>
              <w:t>Lembaga Diklat Terakreditasi "A" Kemenkes RI</w:t>
            </w:r>
          </w:p>
          <w:p>
            <w:pPr>
              <w:spacing w:before="0" w:after="20"/>
            </w:pPr>
            <w:r>
              <w:rPr>
                <w:b w:val="0"/>
                <w:color w:val="1F3B6E"/>
                <w:sz w:val="18"/>
              </w:rPr>
              <w:t>SK No.H.K.02.02/F/1360/2024</w:t>
            </w:r>
          </w:p>
          <w:p>
            <w:pPr>
              <w:spacing w:before="0" w:after="20"/>
            </w:pPr>
            <w:r>
              <w:rPr>
                <w:b w:val="0"/>
                <w:color w:val="1F3B6E"/>
                <w:sz w:val="18"/>
              </w:rPr>
              <w:t>Jalan Karya Wisata No 17-18 Medan Johor</w:t>
            </w:r>
          </w:p>
          <w:p>
            <w:pPr>
              <w:spacing w:before="0" w:after="20"/>
            </w:pPr>
            <w:r>
              <w:rPr>
                <w:b w:val="0"/>
                <w:color w:val="1F3B6E"/>
                <w:sz w:val="18"/>
              </w:rPr>
              <w:t>nusindotrainingcenter@gmail.com</w:t>
            </w:r>
          </w:p>
        </w:tc>
      </w:tr>
    </w:tbl>
    <w:p>
      <w:pPr>
        <w:spacing w:before="40" w:after="200"/>
        <w:pBdr>
          <w:bottom w:val="single" w:sz="8" w:space="1" w:color="1F3B6E"/>
        </w:pBdr>
      </w:pPr>
    </w:p>
    <w:p>
      <w:pPr>
        <w:spacing w:before="320" w:after="80"/>
        <w:jc w:val="center"/>
      </w:pPr>
      <w:r>
        <w:rPr>
          <w:b/>
          <w:i w:val="0"/>
          <w:sz w:val="28"/>
        </w:rPr>
        <w:t>KERANGKA ACUAN KEGIATAN</w:t>
      </w:r>
    </w:p>
    <w:p>
      <w:pPr>
        <w:spacing w:before="0" w:after="80"/>
        <w:jc w:val="center"/>
      </w:pPr>
      <w:r>
        <w:rPr>
          <w:b/>
          <w:i w:val="0"/>
          <w:sz w:val="28"/>
        </w:rPr>
        <w:t>WEBINAR</w:t>
      </w:r>
    </w:p>
    <w:p>
      <w:pPr>
        <w:spacing w:before="0" w:after="320"/>
        <w:jc w:val="center"/>
      </w:pPr>
      <w:r>
        <w:rPr>
          <w:b/>
          <w:i w:val="0"/>
          <w:sz w:val="28"/>
        </w:rPr>
        <w:t>NASIONAL</w:t>
      </w:r>
    </w:p>
    <w:p>
      <w:pPr>
        <w:spacing w:before="0" w:after="600"/>
        <w:jc w:val="center"/>
      </w:pPr>
      <w:r>
        <w:rPr>
          <w:b/>
          <w:sz w:val="26"/>
        </w:rPr>
        <w:t>Kewaspadaan dan Tatalaksana Penyakit Infeksi Emerging: Deteksi Dini, Diagnosis Cepat, dan Respons Klinis</w:t>
      </w:r>
    </w:p>
    <w:p>
      <w:pPr>
        <w:spacing w:before="0" w:after="400"/>
        <w:jc w:val="center"/>
      </w:pPr>
      <w:r>
        <w:drawing>
          <wp:inline xmlns:a="http://schemas.openxmlformats.org/drawingml/2006/main" xmlns:pic="http://schemas.openxmlformats.org/drawingml/2006/picture">
            <wp:extent cx="2880000" cy="893300"/>
            <wp:docPr id="2" name="Picture 2"/>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2880000" cy="893300"/>
                    </a:xfrm>
                    <a:prstGeom prst="rect"/>
                  </pic:spPr>
                </pic:pic>
              </a:graphicData>
            </a:graphic>
          </wp:inline>
        </w:drawing>
      </w:r>
    </w:p>
    <w:p>
      <w:pPr>
        <w:spacing w:before="0" w:after="40"/>
        <w:jc w:val="center"/>
      </w:pPr>
      <w:r>
        <w:rPr>
          <w:b/>
          <w:color w:val="1F3B6E"/>
          <w:sz w:val="24"/>
        </w:rPr>
        <w:t>NUSINDO TRAINING CENTER</w:t>
      </w:r>
    </w:p>
    <w:p>
      <w:pPr>
        <w:spacing w:before="0" w:after="40"/>
        <w:jc w:val="center"/>
      </w:pPr>
      <w:r>
        <w:rPr>
          <w:b/>
          <w:i w:val="0"/>
          <w:color w:val="1F3B6E"/>
          <w:sz w:val="20"/>
        </w:rPr>
        <w:t>Lembaga Diklat Terakreditasi "A" Kemenkes RI</w:t>
      </w:r>
    </w:p>
    <w:p>
      <w:pPr>
        <w:spacing w:before="0" w:after="0"/>
        <w:jc w:val="center"/>
      </w:pPr>
      <w:r>
        <w:rPr>
          <w:b w:val="0"/>
          <w:i w:val="0"/>
          <w:sz w:val="20"/>
        </w:rPr>
        <w:t>Jalan Karya Wisata No 17-18 Medan Johor</w:t>
      </w:r>
    </w:p>
    <w:p>
      <w:r>
        <w:br w:type="page"/>
      </w:r>
    </w:p>
    <w:tbl>
      <w:tblPr>
        <w:tblW w:type="auto" w:w="0"/>
        <w:jc w:val="left"/>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61"/>
        <w:gridCol w:w="4561"/>
      </w:tblGrid>
      <w:tr>
        <w:tc>
          <w:tcPr>
            <w:tcW w:type="dxa" w:w="1701"/>
          </w:tcPr>
          <w:p>
            <w:pPr>
              <w:spacing w:before="0" w:after="0"/>
              <w:jc w:val="left"/>
            </w:pPr>
            <w:r>
              <w:drawing>
                <wp:inline xmlns:a="http://schemas.openxmlformats.org/drawingml/2006/main" xmlns:pic="http://schemas.openxmlformats.org/drawingml/2006/picture">
                  <wp:extent cx="936000" cy="290323"/>
                  <wp:docPr id="3" name="Picture 3"/>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936000" cy="290323"/>
                          </a:xfrm>
                          <a:prstGeom prst="rect"/>
                        </pic:spPr>
                      </pic:pic>
                    </a:graphicData>
                  </a:graphic>
                </wp:inline>
              </w:drawing>
            </w:r>
          </w:p>
        </w:tc>
        <w:tc>
          <w:tcPr>
            <w:tcW w:type="dxa" w:w="7370"/>
            <w:vAlign w:val="center"/>
          </w:tcPr>
          <w:p>
            <w:pPr>
              <w:spacing w:before="0" w:after="40"/>
            </w:pPr>
            <w:r>
              <w:rPr>
                <w:b/>
                <w:color w:val="1F3B6E"/>
                <w:sz w:val="24"/>
              </w:rPr>
              <w:t>NUSINDO TRAINING CENTER</w:t>
            </w:r>
          </w:p>
          <w:p>
            <w:pPr>
              <w:spacing w:before="0" w:after="20"/>
            </w:pPr>
            <w:r>
              <w:rPr>
                <w:b/>
                <w:color w:val="1F3B6E"/>
                <w:sz w:val="18"/>
              </w:rPr>
              <w:t>Lembaga Diklat Terakreditasi "A" Kemenkes RI</w:t>
            </w:r>
          </w:p>
          <w:p>
            <w:pPr>
              <w:spacing w:before="0" w:after="20"/>
            </w:pPr>
            <w:r>
              <w:rPr>
                <w:b w:val="0"/>
                <w:color w:val="1F3B6E"/>
                <w:sz w:val="18"/>
              </w:rPr>
              <w:t>SK No.H.K.02.02/F/1360/2024</w:t>
            </w:r>
          </w:p>
          <w:p>
            <w:pPr>
              <w:spacing w:before="0" w:after="20"/>
            </w:pPr>
            <w:r>
              <w:rPr>
                <w:b w:val="0"/>
                <w:color w:val="1F3B6E"/>
                <w:sz w:val="18"/>
              </w:rPr>
              <w:t>Jalan Karya Wisata No 17-18 Medan Johor</w:t>
            </w:r>
          </w:p>
          <w:p>
            <w:pPr>
              <w:spacing w:before="0" w:after="20"/>
            </w:pPr>
            <w:r>
              <w:rPr>
                <w:b w:val="0"/>
                <w:color w:val="1F3B6E"/>
                <w:sz w:val="18"/>
              </w:rPr>
              <w:t>nusindotrainingcenter@gmail.com</w:t>
            </w:r>
          </w:p>
        </w:tc>
      </w:tr>
    </w:tbl>
    <w:p>
      <w:pPr>
        <w:spacing w:before="40" w:after="200"/>
        <w:pBdr>
          <w:bottom w:val="single" w:sz="8" w:space="1" w:color="1F3B6E"/>
        </w:pBdr>
      </w:pPr>
    </w:p>
    <w:p>
      <w:pPr>
        <w:spacing w:before="200" w:after="80"/>
      </w:pPr>
      <w:r>
        <w:rPr>
          <w:b/>
          <w:sz w:val="22"/>
        </w:rPr>
        <w:t>1. Latar Belakang Kegiatan</w:t>
      </w:r>
    </w:p>
    <w:p>
      <w:pPr>
        <w:spacing w:before="0" w:after="120"/>
        <w:ind w:firstLine="567"/>
        <w:jc w:val="both"/>
      </w:pPr>
      <w:r>
        <w:rPr>
          <w:sz w:val="22"/>
        </w:rPr>
        <w:t>Penyakit Infeksi Emerging (PIE) merupakan ancaman kesehatan global yang terus berkembang dan memerlukan kewaspadaan tinggi dari seluruh tenaga kesehatan. Sejak pandemi COVID-19, sistem kesehatan dunia telah membuktikan bahwa keterlambatan deteksi dan respons terhadap PIE dapat mengakibatkan dampak masif terhadap morbiditas, mortalitas, dan stabilitas sistem pelayanan kesehatan. WHO dan Kemenkes RI secara konsisten memperbarui panduan kewaspadaan PIE yang mencakup sistem deteksi dini, mekanisme notifikasi, serta protokol penanganan kasus sebagai bagian dari implementasi International Health Regulations (IHR) 2005.</w:t>
      </w:r>
    </w:p>
    <w:p>
      <w:pPr>
        <w:spacing w:before="0" w:after="120"/>
        <w:ind w:firstLine="567"/>
        <w:jc w:val="both"/>
      </w:pPr>
      <w:r>
        <w:rPr>
          <w:sz w:val="22"/>
        </w:rPr>
        <w:t>Dalam konteks pelayanan kesehatan sehari-hari, tenaga medis di fasilitas kesehatan tingkat pertama maupun rujukan merupakan lini terdepan dalam mengidentifikasi kasus suspek PIE. Kemampuan mengenali tanda-tanda awal infeksi yang tidak biasa, memahami kriteria kasus, dan menerapkan tindakan isolasi serta penggunaan APD yang tepat menjadi kompetensi kritis yang harus dimiliki setiap klinisi. Namun, pembaruan guideline yang berlangsung cepat sering kali tidak diimbangi dengan peningkatan kapasitas SDM di lapangan secara merata.</w:t>
      </w:r>
    </w:p>
    <w:p>
      <w:pPr>
        <w:spacing w:before="0" w:after="120"/>
        <w:ind w:firstLine="567"/>
        <w:jc w:val="both"/>
      </w:pPr>
      <w:r>
        <w:rPr>
          <w:sz w:val="22"/>
        </w:rPr>
        <w:t>Salah satu aspek yang sering menjadi titik lemah dalam respons PIE adalah pemahaman klinisi terhadap alur tatalaksana awal kasus suspek, mulai dari triase, manajemen kontak, pengiriman spesimen laboratorium, hingga koordinasi dengan dinas kesehatan setempat. Selain itu, prinsip Pencegahan dan Pengendalian Infeksi (PPI) yang ketat dalam menangani kasus PIE—termasuk pemilihan APD berbasis risiko transmisi, manajemen limbah infeksius, dan dekontaminasi lingkungan—merupakan aspek yang membutuhkan pemahaman mendalam dan pembaruan berkala.</w:t>
      </w:r>
    </w:p>
    <w:p>
      <w:pPr>
        <w:spacing w:before="0" w:after="120"/>
        <w:ind w:firstLine="567"/>
        <w:jc w:val="both"/>
      </w:pPr>
      <w:r>
        <w:rPr>
          <w:sz w:val="22"/>
        </w:rPr>
        <w:t>Berdasarkan latar belakang tersebut, urgensi penyelenggaraan webinar nasional tentang Kewaspadaan dan Tatalaksana PIE sangat tinggi. Program ini dirancang untuk meningkatkan kompetensi tenaga medis dalam mendeteksi, mendiagnosis, dan merespons kasus PIE secara cepat dan tepat sesuai standar terkini, sehingga mampu berkontribusi nyata dalam memperkuat sistem kewaspadaan kesehatan nasional.</w:t>
      </w:r>
    </w:p>
    <w:p>
      <w:pPr>
        <w:spacing w:before="200" w:after="80"/>
      </w:pPr>
      <w:r>
        <w:rPr>
          <w:b/>
          <w:sz w:val="22"/>
        </w:rPr>
        <w:t>2. Tujuan Kegiatan</w:t>
      </w:r>
    </w:p>
    <w:p>
      <w:pPr>
        <w:spacing w:after="40"/>
      </w:pPr>
      <w:r>
        <w:rPr>
          <w:b/>
          <w:sz w:val="22"/>
        </w:rPr>
        <w:t>a. Tujuan Umum</w:t>
      </w:r>
    </w:p>
    <w:p>
      <w:pPr>
        <w:spacing w:after="120"/>
        <w:ind w:left="283" w:firstLine="0"/>
        <w:jc w:val="both"/>
      </w:pPr>
      <w:r>
        <w:rPr>
          <w:sz w:val="22"/>
        </w:rPr>
        <w:t>Setelah mengikuti webinar ini, tenaga kesehatan mampu meningkatkan pemahaman dan keterampilan dalam mendeteksi dini, mendiagnosis, serta merespons kasus Penyakit Infeksi Emerging secara komprehensif sesuai pedoman WHO dan Kemenkes RI, guna mendukung penguatan kewaspadaan kesehatan di fasilitas pelayanan masing-masing.</w:t>
      </w:r>
    </w:p>
    <w:p>
      <w:pPr>
        <w:spacing w:after="40"/>
      </w:pPr>
      <w:r>
        <w:rPr>
          <w:b/>
          <w:sz w:val="22"/>
        </w:rPr>
        <w:t>b. Tujuan Khusus</w:t>
      </w:r>
    </w:p>
    <w:p>
      <w:pPr>
        <w:spacing w:before="0" w:after="40"/>
        <w:ind w:left="283"/>
      </w:pPr>
      <w:r>
        <w:rPr>
          <w:sz w:val="22"/>
        </w:rPr>
        <w:t>1. Menjelaskan sistem kewaspadaan PIE nasional dan internasional serta alur notifikasi sesuai regulasi Kemenkes RI dan IHR 2005.</w:t>
      </w:r>
    </w:p>
    <w:p>
      <w:pPr>
        <w:spacing w:before="0" w:after="40"/>
        <w:ind w:left="283"/>
      </w:pPr>
      <w:r>
        <w:rPr>
          <w:sz w:val="22"/>
        </w:rPr>
        <w:t>2. Meningkatkan kemampuan mengenali kriteria kasus suspek PIE berdasarkan gejala klinis, riwayat epidemiologi, dan hasil pemeriksaan awal.</w:t>
      </w:r>
    </w:p>
    <w:p>
      <w:pPr>
        <w:spacing w:before="0" w:after="40"/>
        <w:ind w:left="283"/>
      </w:pPr>
      <w:r>
        <w:rPr>
          <w:sz w:val="22"/>
        </w:rPr>
        <w:t>3. Menjelaskan tatalaksana awal kasus suspek PIE meliputi triase, isolasi, penggunaan APD berbasis risiko, dan manajemen kontak erat.</w:t>
      </w:r>
    </w:p>
    <w:p>
      <w:pPr>
        <w:spacing w:before="0" w:after="40"/>
        <w:ind w:left="283"/>
      </w:pPr>
      <w:r>
        <w:rPr>
          <w:sz w:val="22"/>
        </w:rPr>
        <w:t>4. Memberikan pemahaman tentang prinsip PPI pada kasus PIE, termasuk pengiriman spesimen yang aman dan koordinasi respons multisektoral.</w:t>
      </w:r>
    </w:p>
    <w:p>
      <w:pPr>
        <w:spacing w:before="200" w:after="80"/>
      </w:pPr>
      <w:r>
        <w:rPr>
          <w:b/>
          <w:sz w:val="22"/>
        </w:rPr>
        <w:t>3. Bentuk Kegiatan</w:t>
      </w:r>
    </w:p>
    <w:p>
      <w:pPr>
        <w:spacing w:before="0" w:after="120"/>
        <w:jc w:val="left"/>
      </w:pPr>
      <w:r>
        <w:rPr>
          <w:b w:val="0"/>
          <w:i w:val="0"/>
          <w:sz w:val="22"/>
        </w:rPr>
        <w:t>Webinar</w:t>
      </w:r>
    </w:p>
    <w:p>
      <w:pPr>
        <w:spacing w:before="200" w:after="80"/>
      </w:pPr>
      <w:r>
        <w:rPr>
          <w:b/>
          <w:sz w:val="22"/>
        </w:rPr>
        <w:t>4. Cakupan Kegiatan</w:t>
      </w:r>
    </w:p>
    <w:p>
      <w:pPr>
        <w:spacing w:before="0" w:after="120"/>
        <w:jc w:val="left"/>
      </w:pPr>
      <w:r>
        <w:rPr>
          <w:b w:val="0"/>
          <w:i w:val="0"/>
          <w:sz w:val="22"/>
        </w:rPr>
        <w:t>Nasional</w:t>
      </w:r>
    </w:p>
    <w:p>
      <w:pPr>
        <w:spacing w:before="200" w:after="80"/>
      </w:pPr>
      <w:r>
        <w:rPr>
          <w:b/>
          <w:sz w:val="22"/>
        </w:rPr>
        <w:t>5. Jenis Materi</w:t>
      </w:r>
    </w:p>
    <w:p>
      <w:pPr>
        <w:spacing w:before="0" w:after="120"/>
        <w:jc w:val="left"/>
      </w:pPr>
      <w:r>
        <w:rPr>
          <w:b w:val="0"/>
          <w:i w:val="0"/>
          <w:sz w:val="22"/>
        </w:rPr>
        <w:t>Spesifik Keprofesian</w:t>
      </w:r>
    </w:p>
    <w:p>
      <w:pPr>
        <w:spacing w:before="200" w:after="80"/>
      </w:pPr>
      <w:r>
        <w:rPr>
          <w:b/>
          <w:sz w:val="22"/>
        </w:rPr>
        <w:t>6. Metode</w:t>
      </w:r>
    </w:p>
    <w:p>
      <w:pPr>
        <w:spacing w:before="0" w:after="120"/>
        <w:jc w:val="left"/>
      </w:pPr>
      <w:r>
        <w:rPr>
          <w:b w:val="0"/>
          <w:i w:val="0"/>
          <w:sz w:val="22"/>
        </w:rPr>
        <w:t>Full Online</w:t>
      </w:r>
    </w:p>
    <w:p>
      <w:pPr>
        <w:spacing w:before="200" w:after="80"/>
      </w:pPr>
      <w:r>
        <w:rPr>
          <w:b/>
          <w:sz w:val="22"/>
        </w:rPr>
        <w:t>7. Sasaran Profesi Peserta</w:t>
      </w:r>
    </w:p>
    <w:p>
      <w:pPr>
        <w:spacing w:before="0" w:after="60"/>
      </w:pPr>
      <w:r>
        <w:rPr>
          <w:b/>
          <w:sz w:val="22"/>
        </w:rPr>
        <w:t xml:space="preserve">Sasaran Profesi Utama: </w:t>
      </w:r>
      <w:r>
        <w:rPr>
          <w:sz w:val="22"/>
        </w:rPr>
        <w:t>Kolegium Dokter</w:t>
      </w:r>
    </w:p>
    <w:p>
      <w:pPr>
        <w:spacing w:after="40"/>
      </w:pPr>
      <w:r>
        <w:rPr>
          <w:b/>
          <w:sz w:val="22"/>
        </w:rPr>
        <w:t>Sasaran Profesi Lainnya:</w:t>
      </w:r>
    </w:p>
    <w:p>
      <w:pPr>
        <w:spacing w:before="0" w:after="40"/>
        <w:ind w:left="283"/>
      </w:pPr>
      <w:r>
        <w:rPr>
          <w:sz w:val="22"/>
        </w:rPr>
        <w:t>1. Perawat Vokasi</w:t>
      </w:r>
    </w:p>
    <w:p>
      <w:pPr>
        <w:spacing w:before="0" w:after="40"/>
        <w:ind w:left="283"/>
      </w:pPr>
      <w:r>
        <w:rPr>
          <w:sz w:val="22"/>
        </w:rPr>
        <w:t>2. Ners</w:t>
      </w:r>
    </w:p>
    <w:p>
      <w:pPr>
        <w:spacing w:before="0" w:after="40"/>
        <w:ind w:left="283"/>
      </w:pPr>
      <w:r>
        <w:rPr>
          <w:sz w:val="22"/>
        </w:rPr>
        <w:t>3. Ners Spesialis Keperawatan Medikal Bedah</w:t>
      </w:r>
    </w:p>
    <w:p>
      <w:pPr>
        <w:spacing w:before="0" w:after="40"/>
        <w:ind w:left="283"/>
      </w:pPr>
      <w:r>
        <w:rPr>
          <w:sz w:val="22"/>
        </w:rPr>
        <w:t>4. Ners Spesialis Keperawatan Gawat Darurat Kritis</w:t>
      </w:r>
    </w:p>
    <w:p>
      <w:pPr>
        <w:spacing w:before="0" w:after="40"/>
        <w:ind w:left="283"/>
      </w:pPr>
      <w:r>
        <w:rPr>
          <w:sz w:val="22"/>
        </w:rPr>
        <w:t>5. Dokter Spesialis Penyakit Dalam</w:t>
      </w:r>
    </w:p>
    <w:p>
      <w:pPr>
        <w:spacing w:before="0" w:after="40"/>
        <w:ind w:left="283"/>
      </w:pPr>
      <w:r>
        <w:rPr>
          <w:sz w:val="22"/>
        </w:rPr>
        <w:t>6. Dokter Spesialis Paru</w:t>
      </w:r>
    </w:p>
    <w:p>
      <w:pPr>
        <w:spacing w:before="0" w:after="40"/>
        <w:ind w:left="283"/>
      </w:pPr>
      <w:r>
        <w:rPr>
          <w:sz w:val="22"/>
        </w:rPr>
        <w:t>7. Dokter Spesialis Mikrobiologi Klinik</w:t>
      </w:r>
    </w:p>
    <w:p>
      <w:pPr>
        <w:spacing w:before="0" w:after="40"/>
        <w:ind w:left="283"/>
      </w:pPr>
      <w:r>
        <w:rPr>
          <w:sz w:val="22"/>
        </w:rPr>
        <w:t>8. Dokter Spesialis Kedokteran Keluarga Layanan Primer</w:t>
      </w:r>
    </w:p>
    <w:p>
      <w:pPr>
        <w:spacing w:before="200" w:after="80"/>
      </w:pPr>
      <w:r>
        <w:rPr>
          <w:b/>
          <w:sz w:val="22"/>
        </w:rPr>
        <w:t>8. Target/Jumlah Peserta</w:t>
      </w:r>
    </w:p>
    <w:p>
      <w:pPr>
        <w:spacing w:before="0" w:after="120"/>
        <w:jc w:val="left"/>
      </w:pPr>
      <w:r>
        <w:rPr>
          <w:b w:val="0"/>
          <w:i w:val="0"/>
          <w:sz w:val="22"/>
        </w:rPr>
        <w:t>1,000 peserta</w:t>
      </w:r>
    </w:p>
    <w:p>
      <w:pPr>
        <w:spacing w:before="200" w:after="80"/>
      </w:pPr>
      <w:r>
        <w:rPr>
          <w:b/>
          <w:sz w:val="22"/>
        </w:rPr>
        <w:t>9. Bentuk Kegiatan</w:t>
      </w:r>
    </w:p>
    <w:p>
      <w:pPr>
        <w:spacing w:before="0" w:after="120"/>
        <w:jc w:val="left"/>
      </w:pPr>
      <w:r>
        <w:rPr>
          <w:b w:val="0"/>
          <w:i w:val="0"/>
          <w:sz w:val="22"/>
        </w:rPr>
        <w:t>Mandiri</w:t>
      </w:r>
    </w:p>
    <w:p>
      <w:pPr>
        <w:spacing w:before="200" w:after="80"/>
      </w:pPr>
      <w:r>
        <w:rPr>
          <w:b/>
          <w:sz w:val="22"/>
        </w:rPr>
        <w:t>10. Nama Lembaga / Institusi Penyelenggara Dan Kerjasama</w:t>
      </w:r>
    </w:p>
    <w:p>
      <w:pPr>
        <w:spacing w:before="0" w:after="120"/>
        <w:jc w:val="left"/>
      </w:pPr>
      <w:r>
        <w:rPr>
          <w:b w:val="0"/>
          <w:i w:val="0"/>
          <w:sz w:val="22"/>
        </w:rPr>
        <w:t>( - )</w:t>
      </w:r>
    </w:p>
    <w:p>
      <w:pPr>
        <w:spacing w:before="200" w:after="80"/>
      </w:pPr>
      <w:r>
        <w:rPr>
          <w:b/>
          <w:sz w:val="22"/>
        </w:rPr>
        <w:t>11. Waktu dan Tempat Kegiatan</w:t>
      </w:r>
    </w:p>
    <w:p>
      <w:pPr>
        <w:spacing w:before="0" w:after="60"/>
      </w:pPr>
      <w:r>
        <w:rPr>
          <w:b/>
          <w:sz w:val="22"/>
        </w:rPr>
        <w:t xml:space="preserve">Hari/Tanggal: </w:t>
      </w:r>
      <w:r>
        <w:rPr>
          <w:sz w:val="22"/>
        </w:rPr>
        <w:t>Sabtu – Minggu, 12 – 13 Juli 2026</w:t>
      </w:r>
    </w:p>
    <w:p>
      <w:pPr>
        <w:spacing w:before="0" w:after="60"/>
      </w:pPr>
      <w:r>
        <w:rPr>
          <w:b/>
          <w:sz w:val="22"/>
        </w:rPr>
        <w:t xml:space="preserve">Waktu: </w:t>
      </w:r>
      <w:r>
        <w:rPr>
          <w:sz w:val="22"/>
        </w:rPr>
        <w:t>09.00 WIB - Selesai</w:t>
      </w:r>
    </w:p>
    <w:p>
      <w:pPr>
        <w:spacing w:before="0" w:after="60"/>
      </w:pPr>
      <w:r>
        <w:rPr>
          <w:b/>
          <w:sz w:val="22"/>
        </w:rPr>
        <w:t xml:space="preserve">Tempat: </w:t>
      </w:r>
      <w:r>
        <w:rPr>
          <w:sz w:val="22"/>
        </w:rPr>
        <w:t>Zoom Meeting &amp; Live Streaming Youtube</w:t>
      </w:r>
    </w:p>
    <w:p>
      <w:pPr>
        <w:spacing w:before="200" w:after="80"/>
      </w:pPr>
      <w:r>
        <w:rPr>
          <w:b/>
          <w:sz w:val="22"/>
        </w:rPr>
        <w:t>12. Biaya/Tarif Per Peserta</w:t>
      </w:r>
    </w:p>
    <w:p>
      <w:pPr>
        <w:spacing w:before="0" w:after="80"/>
        <w:jc w:val="left"/>
      </w:pPr>
      <w:r>
        <w:rPr>
          <w:b/>
          <w:i w:val="0"/>
          <w:sz w:val="22"/>
        </w:rPr>
        <w:t>Rp. 80.000</w:t>
      </w:r>
    </w:p>
    <w:p>
      <w:pPr>
        <w:spacing w:before="0" w:after="60"/>
      </w:pPr>
      <w:r>
        <w:rPr>
          <w:b/>
          <w:sz w:val="22"/>
        </w:rPr>
        <w:t xml:space="preserve">Nama Bank: </w:t>
      </w:r>
      <w:r>
        <w:rPr>
          <w:sz w:val="22"/>
        </w:rPr>
        <w:t>Bank Mandiri</w:t>
      </w:r>
    </w:p>
    <w:p>
      <w:pPr>
        <w:spacing w:before="0" w:after="60"/>
      </w:pPr>
      <w:r>
        <w:rPr>
          <w:b/>
          <w:sz w:val="22"/>
        </w:rPr>
        <w:t xml:space="preserve">No. Rekening: </w:t>
      </w:r>
      <w:r>
        <w:rPr>
          <w:sz w:val="22"/>
        </w:rPr>
        <w:t>1050500123777</w:t>
      </w:r>
    </w:p>
    <w:p>
      <w:pPr>
        <w:spacing w:before="0" w:after="60"/>
      </w:pPr>
      <w:r>
        <w:rPr>
          <w:b/>
          <w:sz w:val="22"/>
        </w:rPr>
        <w:t xml:space="preserve">Atas Nama: </w:t>
      </w:r>
      <w:r>
        <w:rPr>
          <w:sz w:val="22"/>
        </w:rPr>
        <w:t>PT NUSINDO EDUKASI INDONESIA</w:t>
      </w:r>
    </w:p>
    <w:p>
      <w:pPr>
        <w:spacing w:before="200" w:after="80"/>
      </w:pPr>
      <w:r>
        <w:rPr>
          <w:b/>
          <w:sz w:val="22"/>
        </w:rPr>
        <w:t>13. Kontak / PIC Pengusul</w:t>
      </w:r>
    </w:p>
    <w:p>
      <w:pPr>
        <w:spacing w:before="0" w:after="120"/>
        <w:jc w:val="left"/>
      </w:pPr>
      <w:r>
        <w:rPr>
          <w:b w:val="0"/>
          <w:i w:val="0"/>
          <w:sz w:val="22"/>
        </w:rPr>
        <w:t>[Nomor HP] ([Nama PIC])</w:t>
      </w:r>
    </w:p>
    <w:p>
      <w:pPr>
        <w:spacing w:before="200" w:after="80"/>
      </w:pPr>
      <w:r>
        <w:rPr>
          <w:b/>
          <w:sz w:val="22"/>
        </w:rPr>
        <w:t>14. Jadwal Kegiatan</w:t>
      </w:r>
    </w:p>
    <w:p>
      <w:pPr>
        <w:spacing w:before="120" w:after="80"/>
      </w:pPr>
      <w:r>
        <w:rPr>
          <w:b/>
          <w:sz w:val="22"/>
        </w:rPr>
        <w:t>Hari 1 — Sabtu, 12 Juli 2026</w:t>
      </w:r>
    </w:p>
    <w:tbl>
      <w:tblPr>
        <w:tblStyle w:val="TableGrid"/>
        <w:tblW w:type="auto" w:w="0"/>
        <w:jc w:val="center"/>
        <w:tblLook w:firstColumn="1" w:firstRow="1" w:lastColumn="0" w:lastRow="0" w:noHBand="0" w:noVBand="1" w:val="04A0"/>
      </w:tblPr>
      <w:tblGrid>
        <w:gridCol w:w="1303"/>
        <w:gridCol w:w="1303"/>
        <w:gridCol w:w="1303"/>
        <w:gridCol w:w="1303"/>
        <w:gridCol w:w="1303"/>
        <w:gridCol w:w="1303"/>
        <w:gridCol w:w="1303"/>
      </w:tblGrid>
      <w:tr>
        <w:tc>
          <w:tcPr>
            <w:tcW w:type="dxa" w:w="454"/>
            <w:shd w:val="clear" w:color="auto" w:fill="1F3864"/>
          </w:tcPr>
          <w:p>
            <w:pPr>
              <w:jc w:val="center"/>
            </w:pPr>
            <w:r>
              <w:rPr>
                <w:b/>
                <w:color w:val="FFFFFF"/>
                <w:sz w:val="18"/>
              </w:rPr>
              <w:t>No</w:t>
            </w:r>
          </w:p>
        </w:tc>
        <w:tc>
          <w:tcPr>
            <w:tcW w:type="dxa" w:w="1247"/>
            <w:shd w:val="clear" w:color="auto" w:fill="1F3864"/>
          </w:tcPr>
          <w:p>
            <w:pPr>
              <w:jc w:val="center"/>
            </w:pPr>
            <w:r>
              <w:rPr>
                <w:b/>
                <w:color w:val="FFFFFF"/>
                <w:sz w:val="18"/>
              </w:rPr>
              <w:t>Waktu</w:t>
            </w:r>
          </w:p>
        </w:tc>
        <w:tc>
          <w:tcPr>
            <w:tcW w:type="dxa" w:w="1134"/>
            <w:shd w:val="clear" w:color="auto" w:fill="1F3864"/>
          </w:tcPr>
          <w:p>
            <w:pPr>
              <w:jc w:val="center"/>
            </w:pPr>
            <w:r>
              <w:rPr>
                <w:b/>
                <w:color w:val="FFFFFF"/>
                <w:sz w:val="18"/>
              </w:rPr>
              <w:t>Durasi</w:t>
            </w:r>
          </w:p>
        </w:tc>
        <w:tc>
          <w:tcPr>
            <w:tcW w:type="dxa" w:w="1134"/>
            <w:shd w:val="clear" w:color="auto" w:fill="1F3864"/>
          </w:tcPr>
          <w:p>
            <w:pPr>
              <w:jc w:val="center"/>
            </w:pPr>
            <w:r>
              <w:rPr>
                <w:b/>
                <w:color w:val="FFFFFF"/>
                <w:sz w:val="18"/>
              </w:rPr>
              <w:t>Durasi (Jam)</w:t>
            </w:r>
          </w:p>
        </w:tc>
        <w:tc>
          <w:tcPr>
            <w:tcW w:type="dxa" w:w="2551"/>
            <w:shd w:val="clear" w:color="auto" w:fill="1F3864"/>
          </w:tcPr>
          <w:p>
            <w:pPr>
              <w:jc w:val="center"/>
            </w:pPr>
            <w:r>
              <w:rPr>
                <w:b/>
                <w:color w:val="FFFFFF"/>
                <w:sz w:val="18"/>
              </w:rPr>
              <w:t>Materi</w:t>
            </w:r>
          </w:p>
        </w:tc>
        <w:tc>
          <w:tcPr>
            <w:tcW w:type="dxa" w:w="1984"/>
            <w:shd w:val="clear" w:color="auto" w:fill="1F3864"/>
          </w:tcPr>
          <w:p>
            <w:pPr>
              <w:jc w:val="center"/>
            </w:pPr>
            <w:r>
              <w:rPr>
                <w:b/>
                <w:color w:val="FFFFFF"/>
                <w:sz w:val="18"/>
              </w:rPr>
              <w:t>Narasumber</w:t>
            </w:r>
          </w:p>
        </w:tc>
        <w:tc>
          <w:tcPr>
            <w:tcW w:type="dxa" w:w="680"/>
            <w:shd w:val="clear" w:color="auto" w:fill="1F3864"/>
          </w:tcPr>
          <w:p>
            <w:pPr>
              <w:jc w:val="center"/>
            </w:pPr>
            <w:r>
              <w:rPr>
                <w:b/>
                <w:color w:val="FFFFFF"/>
                <w:sz w:val="18"/>
              </w:rPr>
              <w:t>JEP</w:t>
            </w:r>
          </w:p>
        </w:tc>
      </w:tr>
      <w:tr>
        <w:tc>
          <w:tcPr>
            <w:tcW w:type="dxa" w:w="454"/>
          </w:tcPr>
          <w:p>
            <w:pPr>
              <w:jc w:val="center"/>
            </w:pPr>
            <w:r>
              <w:rPr>
                <w:sz w:val="18"/>
              </w:rPr>
              <w:t>1</w:t>
            </w:r>
          </w:p>
        </w:tc>
        <w:tc>
          <w:tcPr>
            <w:tcW w:type="dxa" w:w="1247"/>
          </w:tcPr>
          <w:p>
            <w:pPr>
              <w:jc w:val="center"/>
            </w:pPr>
            <w:r>
              <w:rPr>
                <w:sz w:val="18"/>
              </w:rPr>
              <w:t>08.00–08.30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Registrasi Ulang dan Persiapan Kegiatan</w:t>
            </w:r>
          </w:p>
        </w:tc>
        <w:tc>
          <w:tcPr>
            <w:tcW w:type="dxa" w:w="1984"/>
          </w:tcPr>
          <w:p>
            <w:pPr>
              <w:jc w:val="left"/>
            </w:pPr>
            <w:r>
              <w:rPr>
                <w:sz w:val="18"/>
              </w:rPr>
              <w:t>Sesi Registrasi</w:t>
            </w:r>
          </w:p>
        </w:tc>
        <w:tc>
          <w:tcPr>
            <w:tcW w:type="dxa" w:w="680"/>
          </w:tcPr>
          <w:p>
            <w:pPr>
              <w:jc w:val="center"/>
            </w:pPr>
            <w:r>
              <w:rPr>
                <w:sz w:val="18"/>
              </w:rPr>
              <w:t>—</w:t>
            </w:r>
          </w:p>
        </w:tc>
      </w:tr>
      <w:tr>
        <w:tc>
          <w:tcPr>
            <w:tcW w:type="dxa" w:w="454"/>
          </w:tcPr>
          <w:p>
            <w:pPr>
              <w:jc w:val="center"/>
            </w:pPr>
            <w:r>
              <w:rPr>
                <w:sz w:val="18"/>
              </w:rPr>
              <w:t>2</w:t>
            </w:r>
          </w:p>
        </w:tc>
        <w:tc>
          <w:tcPr>
            <w:tcW w:type="dxa" w:w="1247"/>
          </w:tcPr>
          <w:p>
            <w:pPr>
              <w:jc w:val="center"/>
            </w:pPr>
            <w:r>
              <w:rPr>
                <w:sz w:val="18"/>
              </w:rPr>
              <w:t>08.30–09.00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Pembukaan Acara</w:t>
            </w:r>
          </w:p>
        </w:tc>
        <w:tc>
          <w:tcPr>
            <w:tcW w:type="dxa" w:w="1984"/>
          </w:tcPr>
          <w:p>
            <w:pPr>
              <w:jc w:val="left"/>
            </w:pPr>
            <w:r>
              <w:rPr>
                <w:sz w:val="18"/>
              </w:rPr>
              <w:t>MC</w:t>
            </w:r>
          </w:p>
        </w:tc>
        <w:tc>
          <w:tcPr>
            <w:tcW w:type="dxa" w:w="680"/>
          </w:tcPr>
          <w:p>
            <w:pPr>
              <w:jc w:val="center"/>
            </w:pPr>
            <w:r>
              <w:rPr>
                <w:sz w:val="18"/>
              </w:rPr>
              <w:t>—</w:t>
            </w:r>
          </w:p>
        </w:tc>
      </w:tr>
      <w:tr>
        <w:tc>
          <w:tcPr>
            <w:tcW w:type="dxa" w:w="454"/>
          </w:tcPr>
          <w:p>
            <w:pPr>
              <w:jc w:val="center"/>
            </w:pPr>
            <w:r>
              <w:rPr>
                <w:sz w:val="18"/>
              </w:rPr>
              <w:t>3</w:t>
            </w:r>
          </w:p>
        </w:tc>
        <w:tc>
          <w:tcPr>
            <w:tcW w:type="dxa" w:w="1247"/>
          </w:tcPr>
          <w:p>
            <w:pPr>
              <w:jc w:val="center"/>
            </w:pPr>
            <w:r>
              <w:rPr>
                <w:sz w:val="18"/>
              </w:rPr>
              <w:t>09.00–10.30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1:</w:t>
              <w:br/>
              <w:t>Update Sistem Kewaspadaan PIE Nasional dan Alur Notifikasi sesuai IHR 2005</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4</w:t>
            </w:r>
          </w:p>
        </w:tc>
        <w:tc>
          <w:tcPr>
            <w:tcW w:type="dxa" w:w="1247"/>
          </w:tcPr>
          <w:p>
            <w:pPr>
              <w:jc w:val="center"/>
            </w:pPr>
            <w:r>
              <w:rPr>
                <w:sz w:val="18"/>
              </w:rPr>
              <w:t>10.30–11.00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1</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5</w:t>
            </w:r>
          </w:p>
        </w:tc>
        <w:tc>
          <w:tcPr>
            <w:tcW w:type="dxa" w:w="1247"/>
          </w:tcPr>
          <w:p>
            <w:pPr>
              <w:jc w:val="center"/>
            </w:pPr>
            <w:r>
              <w:rPr>
                <w:sz w:val="18"/>
              </w:rPr>
              <w:t>11.00–12.30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2:</w:t>
              <w:br/>
              <w:t>Pendekatan Klinis Kasus Suspek PIE: Kriteria Diagnosis dan Triase Berbasis Risiko</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6</w:t>
            </w:r>
          </w:p>
        </w:tc>
        <w:tc>
          <w:tcPr>
            <w:tcW w:type="dxa" w:w="1247"/>
          </w:tcPr>
          <w:p>
            <w:pPr>
              <w:jc w:val="center"/>
            </w:pPr>
            <w:r>
              <w:rPr>
                <w:sz w:val="18"/>
              </w:rPr>
              <w:t>12.30–13.00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2</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7</w:t>
            </w:r>
          </w:p>
        </w:tc>
        <w:tc>
          <w:tcPr>
            <w:tcW w:type="dxa" w:w="1247"/>
          </w:tcPr>
          <w:p>
            <w:pPr>
              <w:jc w:val="center"/>
            </w:pPr>
            <w:r>
              <w:rPr>
                <w:sz w:val="18"/>
              </w:rPr>
              <w:t>13.00–13.30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Penutup</w:t>
            </w:r>
          </w:p>
        </w:tc>
        <w:tc>
          <w:tcPr>
            <w:tcW w:type="dxa" w:w="1984"/>
          </w:tcPr>
          <w:p>
            <w:pPr>
              <w:jc w:val="left"/>
            </w:pPr>
            <w:r>
              <w:rPr>
                <w:sz w:val="18"/>
              </w:rPr>
              <w:t>MC</w:t>
            </w:r>
          </w:p>
        </w:tc>
        <w:tc>
          <w:tcPr>
            <w:tcW w:type="dxa" w:w="680"/>
          </w:tcPr>
          <w:p>
            <w:pPr>
              <w:jc w:val="center"/>
            </w:pPr>
            <w:r>
              <w:rPr>
                <w:sz w:val="18"/>
              </w:rPr>
              <w:t>—</w:t>
            </w:r>
          </w:p>
        </w:tc>
      </w:tr>
    </w:tbl>
    <w:p>
      <w:pPr>
        <w:spacing w:before="80" w:after="160"/>
      </w:pPr>
      <w:r>
        <w:rPr>
          <w:b/>
          <w:sz w:val="20"/>
        </w:rPr>
        <w:t>Total JEP Hari 1: 4.0 JEP</w:t>
      </w:r>
    </w:p>
    <w:p>
      <w:pPr>
        <w:spacing w:before="120" w:after="80"/>
      </w:pPr>
      <w:r>
        <w:rPr>
          <w:b/>
          <w:sz w:val="22"/>
        </w:rPr>
        <w:t>Hari 2 — Minggu, 13 Juli 2026</w:t>
      </w:r>
    </w:p>
    <w:tbl>
      <w:tblPr>
        <w:tblStyle w:val="TableGrid"/>
        <w:tblW w:type="auto" w:w="0"/>
        <w:jc w:val="center"/>
        <w:tblLook w:firstColumn="1" w:firstRow="1" w:lastColumn="0" w:lastRow="0" w:noHBand="0" w:noVBand="1" w:val="04A0"/>
      </w:tblPr>
      <w:tblGrid>
        <w:gridCol w:w="1303"/>
        <w:gridCol w:w="1303"/>
        <w:gridCol w:w="1303"/>
        <w:gridCol w:w="1303"/>
        <w:gridCol w:w="1303"/>
        <w:gridCol w:w="1303"/>
        <w:gridCol w:w="1303"/>
      </w:tblGrid>
      <w:tr>
        <w:tc>
          <w:tcPr>
            <w:tcW w:type="dxa" w:w="454"/>
            <w:shd w:val="clear" w:color="auto" w:fill="1F3864"/>
          </w:tcPr>
          <w:p>
            <w:pPr>
              <w:jc w:val="center"/>
            </w:pPr>
            <w:r>
              <w:rPr>
                <w:b/>
                <w:color w:val="FFFFFF"/>
                <w:sz w:val="18"/>
              </w:rPr>
              <w:t>No</w:t>
            </w:r>
          </w:p>
        </w:tc>
        <w:tc>
          <w:tcPr>
            <w:tcW w:type="dxa" w:w="1247"/>
            <w:shd w:val="clear" w:color="auto" w:fill="1F3864"/>
          </w:tcPr>
          <w:p>
            <w:pPr>
              <w:jc w:val="center"/>
            </w:pPr>
            <w:r>
              <w:rPr>
                <w:b/>
                <w:color w:val="FFFFFF"/>
                <w:sz w:val="18"/>
              </w:rPr>
              <w:t>Waktu</w:t>
            </w:r>
          </w:p>
        </w:tc>
        <w:tc>
          <w:tcPr>
            <w:tcW w:type="dxa" w:w="1134"/>
            <w:shd w:val="clear" w:color="auto" w:fill="1F3864"/>
          </w:tcPr>
          <w:p>
            <w:pPr>
              <w:jc w:val="center"/>
            </w:pPr>
            <w:r>
              <w:rPr>
                <w:b/>
                <w:color w:val="FFFFFF"/>
                <w:sz w:val="18"/>
              </w:rPr>
              <w:t>Durasi</w:t>
            </w:r>
          </w:p>
        </w:tc>
        <w:tc>
          <w:tcPr>
            <w:tcW w:type="dxa" w:w="1134"/>
            <w:shd w:val="clear" w:color="auto" w:fill="1F3864"/>
          </w:tcPr>
          <w:p>
            <w:pPr>
              <w:jc w:val="center"/>
            </w:pPr>
            <w:r>
              <w:rPr>
                <w:b/>
                <w:color w:val="FFFFFF"/>
                <w:sz w:val="18"/>
              </w:rPr>
              <w:t>Durasi (Jam)</w:t>
            </w:r>
          </w:p>
        </w:tc>
        <w:tc>
          <w:tcPr>
            <w:tcW w:type="dxa" w:w="2551"/>
            <w:shd w:val="clear" w:color="auto" w:fill="1F3864"/>
          </w:tcPr>
          <w:p>
            <w:pPr>
              <w:jc w:val="center"/>
            </w:pPr>
            <w:r>
              <w:rPr>
                <w:b/>
                <w:color w:val="FFFFFF"/>
                <w:sz w:val="18"/>
              </w:rPr>
              <w:t>Materi</w:t>
            </w:r>
          </w:p>
        </w:tc>
        <w:tc>
          <w:tcPr>
            <w:tcW w:type="dxa" w:w="1984"/>
            <w:shd w:val="clear" w:color="auto" w:fill="1F3864"/>
          </w:tcPr>
          <w:p>
            <w:pPr>
              <w:jc w:val="center"/>
            </w:pPr>
            <w:r>
              <w:rPr>
                <w:b/>
                <w:color w:val="FFFFFF"/>
                <w:sz w:val="18"/>
              </w:rPr>
              <w:t>Narasumber</w:t>
            </w:r>
          </w:p>
        </w:tc>
        <w:tc>
          <w:tcPr>
            <w:tcW w:type="dxa" w:w="680"/>
            <w:shd w:val="clear" w:color="auto" w:fill="1F3864"/>
          </w:tcPr>
          <w:p>
            <w:pPr>
              <w:jc w:val="center"/>
            </w:pPr>
            <w:r>
              <w:rPr>
                <w:b/>
                <w:color w:val="FFFFFF"/>
                <w:sz w:val="18"/>
              </w:rPr>
              <w:t>JEP</w:t>
            </w:r>
          </w:p>
        </w:tc>
      </w:tr>
      <w:tr>
        <w:tc>
          <w:tcPr>
            <w:tcW w:type="dxa" w:w="454"/>
          </w:tcPr>
          <w:p>
            <w:pPr>
              <w:jc w:val="center"/>
            </w:pPr>
            <w:r>
              <w:rPr>
                <w:sz w:val="18"/>
              </w:rPr>
              <w:t>1</w:t>
            </w:r>
          </w:p>
        </w:tc>
        <w:tc>
          <w:tcPr>
            <w:tcW w:type="dxa" w:w="1247"/>
          </w:tcPr>
          <w:p>
            <w:pPr>
              <w:jc w:val="center"/>
            </w:pPr>
            <w:r>
              <w:rPr>
                <w:sz w:val="18"/>
              </w:rPr>
              <w:t>08.00–08.30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Registrasi Ulang dan Persiapan Kegiatan</w:t>
            </w:r>
          </w:p>
        </w:tc>
        <w:tc>
          <w:tcPr>
            <w:tcW w:type="dxa" w:w="1984"/>
          </w:tcPr>
          <w:p>
            <w:pPr>
              <w:jc w:val="left"/>
            </w:pPr>
            <w:r>
              <w:rPr>
                <w:sz w:val="18"/>
              </w:rPr>
              <w:t>Sesi Registrasi</w:t>
            </w:r>
          </w:p>
        </w:tc>
        <w:tc>
          <w:tcPr>
            <w:tcW w:type="dxa" w:w="680"/>
          </w:tcPr>
          <w:p>
            <w:pPr>
              <w:jc w:val="center"/>
            </w:pPr>
            <w:r>
              <w:rPr>
                <w:sz w:val="18"/>
              </w:rPr>
              <w:t>—</w:t>
            </w:r>
          </w:p>
        </w:tc>
      </w:tr>
      <w:tr>
        <w:tc>
          <w:tcPr>
            <w:tcW w:type="dxa" w:w="454"/>
          </w:tcPr>
          <w:p>
            <w:pPr>
              <w:jc w:val="center"/>
            </w:pPr>
            <w:r>
              <w:rPr>
                <w:sz w:val="18"/>
              </w:rPr>
              <w:t>2</w:t>
            </w:r>
          </w:p>
        </w:tc>
        <w:tc>
          <w:tcPr>
            <w:tcW w:type="dxa" w:w="1247"/>
          </w:tcPr>
          <w:p>
            <w:pPr>
              <w:jc w:val="center"/>
            </w:pPr>
            <w:r>
              <w:rPr>
                <w:sz w:val="18"/>
              </w:rPr>
              <w:t>08.30–09.00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Pembukaan Acara</w:t>
            </w:r>
          </w:p>
        </w:tc>
        <w:tc>
          <w:tcPr>
            <w:tcW w:type="dxa" w:w="1984"/>
          </w:tcPr>
          <w:p>
            <w:pPr>
              <w:jc w:val="left"/>
            </w:pPr>
            <w:r>
              <w:rPr>
                <w:sz w:val="18"/>
              </w:rPr>
              <w:t>MC</w:t>
            </w:r>
          </w:p>
        </w:tc>
        <w:tc>
          <w:tcPr>
            <w:tcW w:type="dxa" w:w="680"/>
          </w:tcPr>
          <w:p>
            <w:pPr>
              <w:jc w:val="center"/>
            </w:pPr>
            <w:r>
              <w:rPr>
                <w:sz w:val="18"/>
              </w:rPr>
              <w:t>—</w:t>
            </w:r>
          </w:p>
        </w:tc>
      </w:tr>
      <w:tr>
        <w:tc>
          <w:tcPr>
            <w:tcW w:type="dxa" w:w="454"/>
          </w:tcPr>
          <w:p>
            <w:pPr>
              <w:jc w:val="center"/>
            </w:pPr>
            <w:r>
              <w:rPr>
                <w:sz w:val="18"/>
              </w:rPr>
              <w:t>3</w:t>
            </w:r>
          </w:p>
        </w:tc>
        <w:tc>
          <w:tcPr>
            <w:tcW w:type="dxa" w:w="1247"/>
          </w:tcPr>
          <w:p>
            <w:pPr>
              <w:jc w:val="center"/>
            </w:pPr>
            <w:r>
              <w:rPr>
                <w:sz w:val="18"/>
              </w:rPr>
              <w:t>09.00–10.30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3:</w:t>
              <w:br/>
              <w:t>Tatalaksana Awal Kasus Suspek PIE: Isolasi, APD Berbasis Risiko, dan Manajemen Kontak</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4</w:t>
            </w:r>
          </w:p>
        </w:tc>
        <w:tc>
          <w:tcPr>
            <w:tcW w:type="dxa" w:w="1247"/>
          </w:tcPr>
          <w:p>
            <w:pPr>
              <w:jc w:val="center"/>
            </w:pPr>
            <w:r>
              <w:rPr>
                <w:sz w:val="18"/>
              </w:rPr>
              <w:t>10.30–11.00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3</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5</w:t>
            </w:r>
          </w:p>
        </w:tc>
        <w:tc>
          <w:tcPr>
            <w:tcW w:type="dxa" w:w="1247"/>
          </w:tcPr>
          <w:p>
            <w:pPr>
              <w:jc w:val="center"/>
            </w:pPr>
            <w:r>
              <w:rPr>
                <w:sz w:val="18"/>
              </w:rPr>
              <w:t>11.00–12.30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4:</w:t>
              <w:br/>
              <w:t>Prinsip PPI pada Kasus PIE dan Koordinasi Respons Multisektoral</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6</w:t>
            </w:r>
          </w:p>
        </w:tc>
        <w:tc>
          <w:tcPr>
            <w:tcW w:type="dxa" w:w="1247"/>
          </w:tcPr>
          <w:p>
            <w:pPr>
              <w:jc w:val="center"/>
            </w:pPr>
            <w:r>
              <w:rPr>
                <w:sz w:val="18"/>
              </w:rPr>
              <w:t>12.30–13.00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4</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7</w:t>
            </w:r>
          </w:p>
        </w:tc>
        <w:tc>
          <w:tcPr>
            <w:tcW w:type="dxa" w:w="1247"/>
          </w:tcPr>
          <w:p>
            <w:pPr>
              <w:jc w:val="center"/>
            </w:pPr>
            <w:r>
              <w:rPr>
                <w:sz w:val="18"/>
              </w:rPr>
              <w:t>13.00–14.00</w:t>
            </w:r>
          </w:p>
        </w:tc>
        <w:tc>
          <w:tcPr>
            <w:tcW w:type="dxa" w:w="1134"/>
          </w:tcPr>
          <w:p>
            <w:pPr>
              <w:jc w:val="center"/>
            </w:pPr>
            <w:r>
              <w:rPr>
                <w:sz w:val="18"/>
              </w:rPr>
              <w:t>60 menit</w:t>
            </w:r>
          </w:p>
        </w:tc>
        <w:tc>
          <w:tcPr>
            <w:tcW w:type="dxa" w:w="1134"/>
          </w:tcPr>
          <w:p>
            <w:pPr>
              <w:jc w:val="center"/>
            </w:pPr>
            <w:r>
              <w:rPr>
                <w:sz w:val="18"/>
              </w:rPr>
              <w:t>1 jam</w:t>
            </w:r>
          </w:p>
        </w:tc>
        <w:tc>
          <w:tcPr>
            <w:tcW w:type="dxa" w:w="2551"/>
          </w:tcPr>
          <w:p>
            <w:pPr>
              <w:jc w:val="left"/>
            </w:pPr>
            <w:r>
              <w:rPr>
                <w:sz w:val="18"/>
              </w:rPr>
              <w:t>Assessment Materi</w:t>
            </w:r>
          </w:p>
        </w:tc>
        <w:tc>
          <w:tcPr>
            <w:tcW w:type="dxa" w:w="1984"/>
          </w:tcPr>
          <w:p>
            <w:pPr>
              <w:jc w:val="left"/>
            </w:pPr>
            <w:r>
              <w:rPr>
                <w:sz w:val="18"/>
              </w:rPr>
              <w:t>Moderator</w:t>
            </w:r>
          </w:p>
        </w:tc>
        <w:tc>
          <w:tcPr>
            <w:tcW w:type="dxa" w:w="680"/>
          </w:tcPr>
          <w:p>
            <w:pPr>
              <w:jc w:val="center"/>
            </w:pPr>
            <w:r>
              <w:rPr>
                <w:sz w:val="18"/>
              </w:rPr>
              <w:t>1</w:t>
            </w:r>
          </w:p>
        </w:tc>
      </w:tr>
      <w:tr>
        <w:tc>
          <w:tcPr>
            <w:tcW w:type="dxa" w:w="454"/>
          </w:tcPr>
          <w:p>
            <w:pPr>
              <w:jc w:val="center"/>
            </w:pPr>
            <w:r>
              <w:rPr>
                <w:sz w:val="18"/>
              </w:rPr>
              <w:t>8</w:t>
            </w:r>
          </w:p>
        </w:tc>
        <w:tc>
          <w:tcPr>
            <w:tcW w:type="dxa" w:w="1247"/>
          </w:tcPr>
          <w:p>
            <w:pPr>
              <w:jc w:val="center"/>
            </w:pPr>
            <w:r>
              <w:rPr>
                <w:sz w:val="18"/>
              </w:rPr>
              <w:t>14.00–14.30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Penutup</w:t>
            </w:r>
          </w:p>
        </w:tc>
        <w:tc>
          <w:tcPr>
            <w:tcW w:type="dxa" w:w="1984"/>
          </w:tcPr>
          <w:p>
            <w:pPr>
              <w:jc w:val="left"/>
            </w:pPr>
            <w:r>
              <w:rPr>
                <w:sz w:val="18"/>
              </w:rPr>
              <w:t>MC</w:t>
            </w:r>
          </w:p>
        </w:tc>
        <w:tc>
          <w:tcPr>
            <w:tcW w:type="dxa" w:w="680"/>
          </w:tcPr>
          <w:p>
            <w:pPr>
              <w:jc w:val="center"/>
            </w:pPr>
            <w:r>
              <w:rPr>
                <w:sz w:val="18"/>
              </w:rPr>
              <w:t>—</w:t>
            </w:r>
          </w:p>
        </w:tc>
      </w:tr>
    </w:tbl>
    <w:p>
      <w:pPr>
        <w:spacing w:before="80" w:after="160"/>
      </w:pPr>
      <w:r>
        <w:rPr>
          <w:b/>
          <w:sz w:val="20"/>
        </w:rPr>
        <w:t>Total JEP Hari 2: 5.0 JEP</w:t>
      </w:r>
    </w:p>
    <w:p>
      <w:pPr>
        <w:spacing w:before="200" w:after="80"/>
      </w:pPr>
      <w:r>
        <w:rPr>
          <w:b/>
          <w:sz w:val="22"/>
        </w:rPr>
        <w:t>15. Materi Pembelajaran</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454"/>
            <w:shd w:val="clear" w:color="auto" w:fill="1F3864"/>
          </w:tcPr>
          <w:p>
            <w:pPr>
              <w:jc w:val="center"/>
            </w:pPr>
            <w:r>
              <w:rPr>
                <w:b/>
                <w:color w:val="FFFFFF"/>
                <w:sz w:val="18"/>
              </w:rPr>
              <w:t>No</w:t>
            </w:r>
          </w:p>
        </w:tc>
        <w:tc>
          <w:tcPr>
            <w:tcW w:type="dxa" w:w="2268"/>
            <w:shd w:val="clear" w:color="auto" w:fill="1F3864"/>
          </w:tcPr>
          <w:p>
            <w:pPr>
              <w:jc w:val="center"/>
            </w:pPr>
            <w:r>
              <w:rPr>
                <w:b/>
                <w:color w:val="FFFFFF"/>
                <w:sz w:val="18"/>
              </w:rPr>
              <w:t>Judul Materi</w:t>
            </w:r>
          </w:p>
        </w:tc>
        <w:tc>
          <w:tcPr>
            <w:tcW w:type="dxa" w:w="4819"/>
            <w:shd w:val="clear" w:color="auto" w:fill="1F3864"/>
          </w:tcPr>
          <w:p>
            <w:pPr>
              <w:jc w:val="center"/>
            </w:pPr>
            <w:r>
              <w:rPr>
                <w:b/>
                <w:color w:val="FFFFFF"/>
                <w:sz w:val="18"/>
              </w:rPr>
              <w:t>Deskripsi</w:t>
            </w:r>
          </w:p>
        </w:tc>
        <w:tc>
          <w:tcPr>
            <w:tcW w:type="dxa" w:w="1984"/>
            <w:shd w:val="clear" w:color="auto" w:fill="1F3864"/>
          </w:tcPr>
          <w:p>
            <w:pPr>
              <w:jc w:val="center"/>
            </w:pPr>
            <w:r>
              <w:rPr>
                <w:b/>
                <w:color w:val="FFFFFF"/>
                <w:sz w:val="18"/>
              </w:rPr>
              <w:t>Narasumber</w:t>
            </w:r>
          </w:p>
        </w:tc>
      </w:tr>
      <w:tr>
        <w:tc>
          <w:tcPr>
            <w:tcW w:type="dxa" w:w="454"/>
          </w:tcPr>
          <w:p>
            <w:pPr>
              <w:jc w:val="center"/>
            </w:pPr>
            <w:r>
              <w:rPr>
                <w:sz w:val="18"/>
              </w:rPr>
              <w:t>1</w:t>
            </w:r>
          </w:p>
        </w:tc>
        <w:tc>
          <w:tcPr>
            <w:tcW w:type="dxa" w:w="2268"/>
          </w:tcPr>
          <w:p>
            <w:r>
              <w:rPr>
                <w:b/>
                <w:sz w:val="18"/>
              </w:rPr>
              <w:t>Update Sistem Kewaspadaan PIE Nasional dan Alur Notifikasi sesuai IHR 2005</w:t>
            </w:r>
          </w:p>
        </w:tc>
        <w:tc>
          <w:tcPr>
            <w:tcW w:type="dxa" w:w="4819"/>
          </w:tcPr>
          <w:p>
            <w:r>
              <w:rPr>
                <w:sz w:val="18"/>
              </w:rPr>
              <w:t>Materi ini membahas perkembangan terkini regulasi kewaspadaan PIE di Indonesia dalam kerangka IHR 2005 dan kebijakan Kemenkes RI. Peserta akan memahami definisi operasional PIE, klasifikasi tingkat kewaspadaan, serta alur pelaporan kasus dari fasilitas kesehatan ke dinas kesehatan dan sistem surveilans nasional. Pemahaman ini menjadi fondasi bagi tenaga kesehatan untuk mengambil tindakan yang tepat sejak awal identifikasi kasus.</w:t>
            </w:r>
          </w:p>
        </w:tc>
        <w:tc>
          <w:tcPr>
            <w:tcW w:type="dxa" w:w="1984"/>
          </w:tcPr>
          <w:p>
            <w:r>
              <w:rPr>
                <w:sz w:val="18"/>
              </w:rPr>
              <w:t>[Narasumber TBD]</w:t>
            </w:r>
          </w:p>
        </w:tc>
      </w:tr>
      <w:tr>
        <w:tc>
          <w:tcPr>
            <w:tcW w:type="dxa" w:w="454"/>
          </w:tcPr>
          <w:p>
            <w:pPr>
              <w:jc w:val="center"/>
            </w:pPr>
            <w:r>
              <w:rPr>
                <w:sz w:val="18"/>
              </w:rPr>
              <w:t>2</w:t>
            </w:r>
          </w:p>
        </w:tc>
        <w:tc>
          <w:tcPr>
            <w:tcW w:type="dxa" w:w="2268"/>
          </w:tcPr>
          <w:p>
            <w:r>
              <w:rPr>
                <w:b/>
                <w:sz w:val="18"/>
              </w:rPr>
              <w:t>Pendekatan Klinis Kasus Suspek PIE: Kriteria Diagnosis dan Triase Berbasis Risiko</w:t>
            </w:r>
          </w:p>
        </w:tc>
        <w:tc>
          <w:tcPr>
            <w:tcW w:type="dxa" w:w="4819"/>
          </w:tcPr>
          <w:p>
            <w:r>
              <w:rPr>
                <w:sz w:val="18"/>
              </w:rPr>
              <w:t>Materi ini menguraikan kriteria klinis dan epidemiologis dalam mengidentifikasi kasus suspek PIE di fasilitas kesehatan, mulai dari triase awal hingga penentuan prioritas penanganan. Peserta akan mempelajari cara membedakan kasus PIE dari infeksi respirasi atau sistemik lainnya menggunakan pendekatan berbasis bukti dan alat bantu diagnosis yang tersedia. Kemampuan triase berbasis risiko yang tepat sangat menentukan keberhasilan pengendalian penyebaran di fasilitas kesehatan.</w:t>
            </w:r>
          </w:p>
        </w:tc>
        <w:tc>
          <w:tcPr>
            <w:tcW w:type="dxa" w:w="1984"/>
          </w:tcPr>
          <w:p>
            <w:r>
              <w:rPr>
                <w:sz w:val="18"/>
              </w:rPr>
              <w:t>[Narasumber TBD]</w:t>
            </w:r>
          </w:p>
        </w:tc>
      </w:tr>
      <w:tr>
        <w:tc>
          <w:tcPr>
            <w:tcW w:type="dxa" w:w="454"/>
          </w:tcPr>
          <w:p>
            <w:pPr>
              <w:jc w:val="center"/>
            </w:pPr>
            <w:r>
              <w:rPr>
                <w:sz w:val="18"/>
              </w:rPr>
              <w:t>3</w:t>
            </w:r>
          </w:p>
        </w:tc>
        <w:tc>
          <w:tcPr>
            <w:tcW w:type="dxa" w:w="2268"/>
          </w:tcPr>
          <w:p>
            <w:r>
              <w:rPr>
                <w:b/>
                <w:sz w:val="18"/>
              </w:rPr>
              <w:t>Tatalaksana Awal Kasus Suspek PIE: Isolasi, APD Berbasis Risiko, dan Manajemen Kontak</w:t>
            </w:r>
          </w:p>
        </w:tc>
        <w:tc>
          <w:tcPr>
            <w:tcW w:type="dxa" w:w="4819"/>
          </w:tcPr>
          <w:p>
            <w:r>
              <w:rPr>
                <w:sz w:val="18"/>
              </w:rPr>
              <w:t>Materi ini membahas langkah-langkah tatalaksana segera setelah teridentifikasi kasus suspek PIE, meliputi penempatan isolasi yang tepat, pemilihan dan penggunaan APD sesuai jalur transmisi, serta prosedur pengiriman spesimen diagnostik yang aman. Pengelolaan kontak erat—termasuk identifikasi, monitoring, dan karantina—dibahas secara sistematis mengikuti protokol terkini. Peserta akan mendapatkan pemahaman operasional yang dapat langsung diterapkan di fasilitas masing-masing.</w:t>
            </w:r>
          </w:p>
        </w:tc>
        <w:tc>
          <w:tcPr>
            <w:tcW w:type="dxa" w:w="1984"/>
          </w:tcPr>
          <w:p>
            <w:r>
              <w:rPr>
                <w:sz w:val="18"/>
              </w:rPr>
              <w:t>[Narasumber TBD]</w:t>
            </w:r>
          </w:p>
        </w:tc>
      </w:tr>
      <w:tr>
        <w:tc>
          <w:tcPr>
            <w:tcW w:type="dxa" w:w="454"/>
          </w:tcPr>
          <w:p>
            <w:pPr>
              <w:jc w:val="center"/>
            </w:pPr>
            <w:r>
              <w:rPr>
                <w:sz w:val="18"/>
              </w:rPr>
              <w:t>4</w:t>
            </w:r>
          </w:p>
        </w:tc>
        <w:tc>
          <w:tcPr>
            <w:tcW w:type="dxa" w:w="2268"/>
          </w:tcPr>
          <w:p>
            <w:r>
              <w:rPr>
                <w:b/>
                <w:sz w:val="18"/>
              </w:rPr>
              <w:t>Prinsip PPI pada Kasus PIE dan Koordinasi Respons Multisektoral</w:t>
            </w:r>
          </w:p>
        </w:tc>
        <w:tc>
          <w:tcPr>
            <w:tcW w:type="dxa" w:w="4819"/>
          </w:tcPr>
          <w:p>
            <w:r>
              <w:rPr>
                <w:sz w:val="18"/>
              </w:rPr>
              <w:t>Materi ini membahas implementasi Pencegahan dan Pengendalian Infeksi (PPI) secara komprehensif dalam penanganan PIE, termasuk kewaspadaan standar, kewaspadaan transmisi, dekontaminasi lingkungan, dan manajemen limbah infeksius. Selain itu, peserta akan memahami mekanisme koordinasi lintas sektor antara fasilitas kesehatan, dinas kesehatan, dan otoritas kesehatan pusat dalam merespons kejadian luar biasa PIE. Koordinasi yang terstruktur terbukti menentukan kecepatan dan efektivitas respons nasional.</w:t>
            </w:r>
          </w:p>
        </w:tc>
        <w:tc>
          <w:tcPr>
            <w:tcW w:type="dxa" w:w="1984"/>
          </w:tcPr>
          <w:p>
            <w:r>
              <w:rPr>
                <w:sz w:val="18"/>
              </w:rPr>
              <w:t>[Narasumber TBD]</w:t>
            </w:r>
          </w:p>
        </w:tc>
      </w:tr>
    </w:tbl>
    <w:p/>
    <w:p>
      <w:pPr>
        <w:spacing w:before="200" w:after="400"/>
        <w:jc w:val="left"/>
      </w:pPr>
      <w:r>
        <w:rPr>
          <w:b w:val="0"/>
          <w:i w:val="0"/>
          <w:sz w:val="22"/>
        </w:rPr>
        <w:t>Demikian Kerangka Acuan Kegiatan (KAK) pelaksanaan kegiatan Kewaspadaan dan Tatalaksana Penyakit Infeksi Emerging: Deteksi Dini, Diagnosis Cepat, dan Respons Klinis disusun untuk dijadikan acuan dan dipedomani sebagaimana mestinya.</w:t>
      </w:r>
    </w:p>
    <w:p>
      <w:pPr>
        <w:spacing w:after="0"/>
        <w:jc w:val="right"/>
      </w:pPr>
      <w:r>
        <w:rPr>
          <w:sz w:val="22"/>
        </w:rPr>
        <w:t>Medan, Juni 2026</w:t>
      </w:r>
    </w:p>
    <w:p>
      <w:pPr>
        <w:spacing w:after="1000"/>
        <w:jc w:val="right"/>
      </w:pPr>
      <w:r>
        <w:rPr>
          <w:b/>
          <w:sz w:val="22"/>
        </w:rPr>
        <w:t>NUSINDO TRAINING CENTER</w:t>
      </w:r>
    </w:p>
    <w:p>
      <w:pPr>
        <w:spacing w:after="40"/>
        <w:jc w:val="right"/>
      </w:pPr>
      <w:r>
        <w:rPr>
          <w:b/>
          <w:sz w:val="22"/>
        </w:rPr>
        <w:t>dr. Ahmad Ridwan</w:t>
      </w:r>
    </w:p>
    <w:p>
      <w:pPr>
        <w:spacing w:after="0"/>
        <w:jc w:val="right"/>
      </w:pPr>
      <w:r>
        <w:rPr>
          <w:sz w:val="22"/>
        </w:rPr>
        <w:t>Direktur</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